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21007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5EB76DE3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8D54BC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</w:t>
      </w:r>
      <w:r w:rsidR="008D54BC">
        <w:rPr>
          <w:b/>
          <w:sz w:val="20"/>
          <w:szCs w:val="20"/>
        </w:rPr>
        <w:t>10</w:t>
      </w:r>
      <w:r w:rsidR="0023280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202</w:t>
      </w:r>
      <w:r w:rsidR="0023280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21007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5F9810FC" w14:textId="73DCF6A2" w:rsidR="009B3E76" w:rsidRDefault="00703E8D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Agnieszka Fieback nową członkinią zarządu BNP Paribas Faktoring</w:t>
      </w:r>
    </w:p>
    <w:p w14:paraId="663B3C48" w14:textId="77777777" w:rsidR="00954767" w:rsidRDefault="00954767" w:rsidP="0021007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8"/>
          <w:szCs w:val="28"/>
        </w:rPr>
      </w:pPr>
    </w:p>
    <w:p w14:paraId="3C83B05F" w14:textId="0767A6E7" w:rsid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954767">
        <w:rPr>
          <w:rFonts w:cs="Calibri"/>
          <w:b/>
          <w:bCs/>
          <w:sz w:val="24"/>
          <w:szCs w:val="24"/>
        </w:rPr>
        <w:t>BNP Paribas Faktoring informuje o zmianach w zarządzie spółki. Do grona członków zarządu dołączyła Agnieszka Fieback, doświadczona ekspertka z bogatym doświadczeniem w sektorze bankowym i faktoringowym.</w:t>
      </w:r>
    </w:p>
    <w:p w14:paraId="3227AD05" w14:textId="77777777" w:rsid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32198BFC" w14:textId="7C545262" w:rsidR="00954767" w:rsidRP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954767">
        <w:rPr>
          <w:rFonts w:cs="Calibri"/>
          <w:sz w:val="24"/>
          <w:szCs w:val="24"/>
        </w:rPr>
        <w:t xml:space="preserve">Agnieszka Fieback będzie odpowiadać za rozwój działań sprzedażowych oraz nadzór nad </w:t>
      </w:r>
      <w:r>
        <w:rPr>
          <w:rFonts w:cs="Calibri"/>
          <w:sz w:val="24"/>
          <w:szCs w:val="24"/>
        </w:rPr>
        <w:t>d</w:t>
      </w:r>
      <w:r w:rsidRPr="00954767">
        <w:rPr>
          <w:rFonts w:cs="Calibri"/>
          <w:sz w:val="24"/>
          <w:szCs w:val="24"/>
        </w:rPr>
        <w:t xml:space="preserve">epartamentem </w:t>
      </w:r>
      <w:r>
        <w:rPr>
          <w:rFonts w:cs="Calibri"/>
          <w:sz w:val="24"/>
          <w:szCs w:val="24"/>
        </w:rPr>
        <w:t>s</w:t>
      </w:r>
      <w:r w:rsidRPr="00954767">
        <w:rPr>
          <w:rFonts w:cs="Calibri"/>
          <w:sz w:val="24"/>
          <w:szCs w:val="24"/>
        </w:rPr>
        <w:t xml:space="preserve">przedaży. Jej wiedza i umiejętności, zdobyte na przestrzeni ponad dwóch dekad pracy w BNP Paribas </w:t>
      </w:r>
      <w:r>
        <w:rPr>
          <w:rFonts w:cs="Calibri"/>
          <w:sz w:val="24"/>
          <w:szCs w:val="24"/>
        </w:rPr>
        <w:t xml:space="preserve">Bank </w:t>
      </w:r>
      <w:r w:rsidRPr="00954767">
        <w:rPr>
          <w:rFonts w:cs="Calibri"/>
          <w:sz w:val="24"/>
          <w:szCs w:val="24"/>
        </w:rPr>
        <w:t xml:space="preserve">Polska, gdzie pełniła funkcję dyrektorki </w:t>
      </w:r>
      <w:r>
        <w:rPr>
          <w:rFonts w:cs="Calibri"/>
          <w:sz w:val="24"/>
          <w:szCs w:val="24"/>
        </w:rPr>
        <w:t>b</w:t>
      </w:r>
      <w:r w:rsidRPr="00954767">
        <w:rPr>
          <w:rFonts w:cs="Calibri"/>
          <w:sz w:val="24"/>
          <w:szCs w:val="24"/>
        </w:rPr>
        <w:t xml:space="preserve">iura </w:t>
      </w:r>
      <w:r>
        <w:rPr>
          <w:rFonts w:cs="Calibri"/>
          <w:sz w:val="24"/>
          <w:szCs w:val="24"/>
        </w:rPr>
        <w:t>b</w:t>
      </w:r>
      <w:r w:rsidRPr="00954767">
        <w:rPr>
          <w:rFonts w:cs="Calibri"/>
          <w:sz w:val="24"/>
          <w:szCs w:val="24"/>
        </w:rPr>
        <w:t xml:space="preserve">ankowości </w:t>
      </w:r>
      <w:r>
        <w:rPr>
          <w:rFonts w:cs="Calibri"/>
          <w:sz w:val="24"/>
          <w:szCs w:val="24"/>
        </w:rPr>
        <w:t>k</w:t>
      </w:r>
      <w:r w:rsidRPr="00954767">
        <w:rPr>
          <w:rFonts w:cs="Calibri"/>
          <w:sz w:val="24"/>
          <w:szCs w:val="24"/>
        </w:rPr>
        <w:t>orporacyjnej, stanowią solidne podstawy do dalszego wzmacniania pozycji BNP Paribas Faktoring na rynku.</w:t>
      </w:r>
      <w:r>
        <w:rPr>
          <w:rFonts w:cs="Calibri"/>
          <w:sz w:val="24"/>
          <w:szCs w:val="24"/>
        </w:rPr>
        <w:t xml:space="preserve"> </w:t>
      </w:r>
      <w:r w:rsidRPr="00954767">
        <w:rPr>
          <w:rFonts w:cs="Calibri"/>
          <w:sz w:val="24"/>
          <w:szCs w:val="24"/>
        </w:rPr>
        <w:t xml:space="preserve">Przez ostatnie trzy lata Agnieszka Fieback była związana z </w:t>
      </w:r>
      <w:r>
        <w:rPr>
          <w:rFonts w:cs="Calibri"/>
          <w:sz w:val="24"/>
          <w:szCs w:val="24"/>
        </w:rPr>
        <w:t xml:space="preserve">firmą </w:t>
      </w:r>
      <w:r w:rsidRPr="00954767">
        <w:rPr>
          <w:rFonts w:cs="Calibri"/>
          <w:sz w:val="24"/>
          <w:szCs w:val="24"/>
        </w:rPr>
        <w:t xml:space="preserve">w roli dyrektorki ds. sprzedaży. </w:t>
      </w:r>
    </w:p>
    <w:p w14:paraId="4F5DC611" w14:textId="77777777" w:rsid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7CF234D4" w14:textId="13A7DE8E" w:rsidR="001A2A41" w:rsidRDefault="001A2A41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1A2A41">
        <w:rPr>
          <w:rFonts w:cs="Calibri"/>
          <w:i/>
          <w:iCs/>
          <w:sz w:val="24"/>
          <w:szCs w:val="24"/>
        </w:rPr>
        <w:t>Objęcie roli członkini zarządu lidera usług faktoringowych w Polsce to dla mnie ogromne  wyróżnienie. Z wielkim entuzjazmem podchodzę do nowego zadania. Współpracując z zespołem ludzi pełnych energii i pasji, którzy są ekspertami w swojej dziedzinie, będziemy dalej wzmacniać pozycję BNP Paribas Faktoring, budując silne i długoletnie relacje z naszymi klientami. Moją ambicją jest w pełni wykorzystywać potencjał, jakim jest pozycja faktora oraz przynależność do grupy BNP Paribas, poprzez dostarczanie naszym klientom rozwiązań wspierających ich rozwój oraz cele strategiczne</w:t>
      </w:r>
      <w:r>
        <w:rPr>
          <w:rFonts w:cs="Calibri"/>
          <w:sz w:val="24"/>
          <w:szCs w:val="24"/>
        </w:rPr>
        <w:t xml:space="preserve"> – mówi </w:t>
      </w:r>
      <w:r w:rsidRPr="001A2A41">
        <w:rPr>
          <w:rFonts w:cs="Calibri"/>
          <w:b/>
          <w:bCs/>
          <w:sz w:val="24"/>
          <w:szCs w:val="24"/>
        </w:rPr>
        <w:t>Agnieszka Fieback</w:t>
      </w:r>
      <w:r>
        <w:rPr>
          <w:rFonts w:cs="Calibri"/>
          <w:sz w:val="24"/>
          <w:szCs w:val="24"/>
        </w:rPr>
        <w:t>.</w:t>
      </w:r>
    </w:p>
    <w:p w14:paraId="5297EAFD" w14:textId="77777777" w:rsidR="001A2A41" w:rsidRPr="00954767" w:rsidRDefault="001A2A41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5B846A6B" w14:textId="77777777" w:rsidR="00954767" w:rsidRP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954767">
        <w:rPr>
          <w:rFonts w:cs="Calibri"/>
          <w:sz w:val="24"/>
          <w:szCs w:val="24"/>
        </w:rPr>
        <w:t>Warto podkreślić, że wraz z objęciem nowej roli przez Agnieszkę Fieback, skład zarządu BNP Paribas Faktoring w 50% tworzyć będą kobiety, co wpisuje się w zaangażowanie firmy na rzecz różnorodności i równości w miejscu pracy.</w:t>
      </w:r>
    </w:p>
    <w:p w14:paraId="01F36876" w14:textId="77777777" w:rsidR="00954767" w:rsidRP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F3150CC" w14:textId="71FB2552" w:rsidR="00954767" w:rsidRPr="00954767" w:rsidRDefault="00954767" w:rsidP="0095476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954767">
        <w:rPr>
          <w:rFonts w:cs="Calibri"/>
          <w:sz w:val="24"/>
          <w:szCs w:val="24"/>
        </w:rPr>
        <w:t>BNP Paribas Faktoring jest liderem w dostarczaniu nowoczesnych rozwiązań faktoringowych, wspierającym przedsiębiorstwa w optymalizacji płynności finansowej i zarządzaniu ryzykiem kredytowym. Firma jest częścią Grupy BNP Paribas, jednego z największych banków na świecie.</w:t>
      </w:r>
    </w:p>
    <w:p w14:paraId="343A5875" w14:textId="77777777" w:rsidR="00153076" w:rsidRPr="00DF7DE1" w:rsidRDefault="00153076" w:rsidP="0021007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21007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21007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</w:t>
      </w:r>
      <w:r w:rsidRPr="007C430C">
        <w:rPr>
          <w:sz w:val="20"/>
        </w:rPr>
        <w:lastRenderedPageBreak/>
        <w:t>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21007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21007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Pr="00B9218E">
          <w:rPr>
            <w:rStyle w:val="Hipercze"/>
            <w:b/>
            <w:sz w:val="20"/>
            <w:szCs w:val="20"/>
          </w:rPr>
          <w:t>www.faktoring.bnpparibas.pl</w:t>
        </w:r>
      </w:hyperlink>
      <w:r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21007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9108" w14:textId="77777777" w:rsidR="00482A35" w:rsidRDefault="00482A35" w:rsidP="007C430C">
      <w:pPr>
        <w:spacing w:after="0" w:line="240" w:lineRule="auto"/>
      </w:pPr>
      <w:r>
        <w:separator/>
      </w:r>
    </w:p>
  </w:endnote>
  <w:endnote w:type="continuationSeparator" w:id="0">
    <w:p w14:paraId="27C30EDB" w14:textId="77777777" w:rsidR="00482A35" w:rsidRDefault="00482A35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4E72F" w14:textId="77777777" w:rsidR="00482A35" w:rsidRDefault="00482A35" w:rsidP="007C430C">
      <w:pPr>
        <w:spacing w:after="0" w:line="240" w:lineRule="auto"/>
      </w:pPr>
      <w:r>
        <w:separator/>
      </w:r>
    </w:p>
  </w:footnote>
  <w:footnote w:type="continuationSeparator" w:id="0">
    <w:p w14:paraId="43BBF4A1" w14:textId="77777777" w:rsidR="00482A35" w:rsidRDefault="00482A35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112D8"/>
    <w:rsid w:val="000239FE"/>
    <w:rsid w:val="00027152"/>
    <w:rsid w:val="00032CB3"/>
    <w:rsid w:val="00051D9D"/>
    <w:rsid w:val="00052D6A"/>
    <w:rsid w:val="0005686E"/>
    <w:rsid w:val="00060453"/>
    <w:rsid w:val="00062187"/>
    <w:rsid w:val="000659DA"/>
    <w:rsid w:val="0008456A"/>
    <w:rsid w:val="000B3BB9"/>
    <w:rsid w:val="000B486F"/>
    <w:rsid w:val="000B73EC"/>
    <w:rsid w:val="000E0E4F"/>
    <w:rsid w:val="000E1D5D"/>
    <w:rsid w:val="000E44F0"/>
    <w:rsid w:val="00100274"/>
    <w:rsid w:val="0010191C"/>
    <w:rsid w:val="001021FC"/>
    <w:rsid w:val="00124090"/>
    <w:rsid w:val="00134FEF"/>
    <w:rsid w:val="00141BAD"/>
    <w:rsid w:val="00144540"/>
    <w:rsid w:val="00153076"/>
    <w:rsid w:val="00157CAF"/>
    <w:rsid w:val="00161687"/>
    <w:rsid w:val="001662C7"/>
    <w:rsid w:val="001838C9"/>
    <w:rsid w:val="0018583B"/>
    <w:rsid w:val="0019498E"/>
    <w:rsid w:val="001A2A41"/>
    <w:rsid w:val="001A78B9"/>
    <w:rsid w:val="001D5A11"/>
    <w:rsid w:val="001D6E61"/>
    <w:rsid w:val="001D716F"/>
    <w:rsid w:val="001E1C13"/>
    <w:rsid w:val="001E26C3"/>
    <w:rsid w:val="001F7380"/>
    <w:rsid w:val="002070FE"/>
    <w:rsid w:val="00210075"/>
    <w:rsid w:val="00216D49"/>
    <w:rsid w:val="0022109C"/>
    <w:rsid w:val="00222A28"/>
    <w:rsid w:val="002231DA"/>
    <w:rsid w:val="00232807"/>
    <w:rsid w:val="00232AE6"/>
    <w:rsid w:val="00234E31"/>
    <w:rsid w:val="00246D81"/>
    <w:rsid w:val="00285523"/>
    <w:rsid w:val="00291A02"/>
    <w:rsid w:val="002923D2"/>
    <w:rsid w:val="00292F21"/>
    <w:rsid w:val="002938B1"/>
    <w:rsid w:val="002A3F41"/>
    <w:rsid w:val="002B02AD"/>
    <w:rsid w:val="002B10F8"/>
    <w:rsid w:val="002C4837"/>
    <w:rsid w:val="002D4A91"/>
    <w:rsid w:val="00315304"/>
    <w:rsid w:val="003201AB"/>
    <w:rsid w:val="0032691B"/>
    <w:rsid w:val="00327202"/>
    <w:rsid w:val="00333E89"/>
    <w:rsid w:val="00346382"/>
    <w:rsid w:val="003469BC"/>
    <w:rsid w:val="00352BEF"/>
    <w:rsid w:val="00377188"/>
    <w:rsid w:val="003A48F5"/>
    <w:rsid w:val="003C101F"/>
    <w:rsid w:val="003C74E7"/>
    <w:rsid w:val="003D0D43"/>
    <w:rsid w:val="003D667F"/>
    <w:rsid w:val="003F56D2"/>
    <w:rsid w:val="004011A4"/>
    <w:rsid w:val="00424D40"/>
    <w:rsid w:val="00432FAD"/>
    <w:rsid w:val="00440852"/>
    <w:rsid w:val="00440995"/>
    <w:rsid w:val="00461A10"/>
    <w:rsid w:val="00462673"/>
    <w:rsid w:val="00463AE2"/>
    <w:rsid w:val="00472753"/>
    <w:rsid w:val="00482A35"/>
    <w:rsid w:val="004A784F"/>
    <w:rsid w:val="004D2C3B"/>
    <w:rsid w:val="004D6519"/>
    <w:rsid w:val="004E0B10"/>
    <w:rsid w:val="004E4F10"/>
    <w:rsid w:val="004F1CB4"/>
    <w:rsid w:val="004F6904"/>
    <w:rsid w:val="00511FA8"/>
    <w:rsid w:val="00512E82"/>
    <w:rsid w:val="005278B2"/>
    <w:rsid w:val="00534301"/>
    <w:rsid w:val="00546411"/>
    <w:rsid w:val="00560E4B"/>
    <w:rsid w:val="005618DA"/>
    <w:rsid w:val="00561AC0"/>
    <w:rsid w:val="005A21F4"/>
    <w:rsid w:val="005A3AA2"/>
    <w:rsid w:val="005E1329"/>
    <w:rsid w:val="005E48E2"/>
    <w:rsid w:val="005F0000"/>
    <w:rsid w:val="005F50C8"/>
    <w:rsid w:val="00604A56"/>
    <w:rsid w:val="00634120"/>
    <w:rsid w:val="00663A3E"/>
    <w:rsid w:val="0066613A"/>
    <w:rsid w:val="00693D58"/>
    <w:rsid w:val="0069585A"/>
    <w:rsid w:val="006A63A2"/>
    <w:rsid w:val="006B730C"/>
    <w:rsid w:val="006C491D"/>
    <w:rsid w:val="006C4AFE"/>
    <w:rsid w:val="006C7CCB"/>
    <w:rsid w:val="006D0730"/>
    <w:rsid w:val="006E5C6C"/>
    <w:rsid w:val="006F3078"/>
    <w:rsid w:val="00700A11"/>
    <w:rsid w:val="00703E8D"/>
    <w:rsid w:val="00713295"/>
    <w:rsid w:val="00730A60"/>
    <w:rsid w:val="007405E4"/>
    <w:rsid w:val="00742610"/>
    <w:rsid w:val="00755CA2"/>
    <w:rsid w:val="00764C2E"/>
    <w:rsid w:val="00772BEE"/>
    <w:rsid w:val="00773091"/>
    <w:rsid w:val="00777026"/>
    <w:rsid w:val="0078721D"/>
    <w:rsid w:val="007A0FDF"/>
    <w:rsid w:val="007A5718"/>
    <w:rsid w:val="007A7ECA"/>
    <w:rsid w:val="007B1149"/>
    <w:rsid w:val="007B1B6D"/>
    <w:rsid w:val="007C0779"/>
    <w:rsid w:val="007C142B"/>
    <w:rsid w:val="007C430C"/>
    <w:rsid w:val="007E16B5"/>
    <w:rsid w:val="007E1739"/>
    <w:rsid w:val="008135A8"/>
    <w:rsid w:val="0081421D"/>
    <w:rsid w:val="00817E14"/>
    <w:rsid w:val="00844DBA"/>
    <w:rsid w:val="008457E7"/>
    <w:rsid w:val="00847760"/>
    <w:rsid w:val="00861F1B"/>
    <w:rsid w:val="00890B42"/>
    <w:rsid w:val="008B223C"/>
    <w:rsid w:val="008C454C"/>
    <w:rsid w:val="008D1F29"/>
    <w:rsid w:val="008D4A2C"/>
    <w:rsid w:val="008D54BC"/>
    <w:rsid w:val="008F1CB6"/>
    <w:rsid w:val="00903301"/>
    <w:rsid w:val="0090387E"/>
    <w:rsid w:val="00915A30"/>
    <w:rsid w:val="00927009"/>
    <w:rsid w:val="00946C7B"/>
    <w:rsid w:val="00954767"/>
    <w:rsid w:val="00957903"/>
    <w:rsid w:val="00964CF5"/>
    <w:rsid w:val="00975CC8"/>
    <w:rsid w:val="00993314"/>
    <w:rsid w:val="009B1B51"/>
    <w:rsid w:val="009B3E76"/>
    <w:rsid w:val="009C25C5"/>
    <w:rsid w:val="009D25A0"/>
    <w:rsid w:val="009D2B35"/>
    <w:rsid w:val="009D7209"/>
    <w:rsid w:val="009F3C72"/>
    <w:rsid w:val="00A07567"/>
    <w:rsid w:val="00A15E5D"/>
    <w:rsid w:val="00A25F28"/>
    <w:rsid w:val="00A7174B"/>
    <w:rsid w:val="00A745DF"/>
    <w:rsid w:val="00A74833"/>
    <w:rsid w:val="00A87C9D"/>
    <w:rsid w:val="00A92D6A"/>
    <w:rsid w:val="00A930A8"/>
    <w:rsid w:val="00AB3E8E"/>
    <w:rsid w:val="00AC753B"/>
    <w:rsid w:val="00AF60B7"/>
    <w:rsid w:val="00B0086E"/>
    <w:rsid w:val="00B00E1B"/>
    <w:rsid w:val="00B03CAE"/>
    <w:rsid w:val="00B077F4"/>
    <w:rsid w:val="00B12F51"/>
    <w:rsid w:val="00B14A06"/>
    <w:rsid w:val="00B43AB5"/>
    <w:rsid w:val="00B5577E"/>
    <w:rsid w:val="00B62536"/>
    <w:rsid w:val="00B865EC"/>
    <w:rsid w:val="00BB3ED3"/>
    <w:rsid w:val="00BC4CCD"/>
    <w:rsid w:val="00BC61E1"/>
    <w:rsid w:val="00BE6D57"/>
    <w:rsid w:val="00BF3867"/>
    <w:rsid w:val="00BF6AD9"/>
    <w:rsid w:val="00BF7B67"/>
    <w:rsid w:val="00C010E4"/>
    <w:rsid w:val="00C267ED"/>
    <w:rsid w:val="00C37B53"/>
    <w:rsid w:val="00C56CCC"/>
    <w:rsid w:val="00C6374C"/>
    <w:rsid w:val="00C7722F"/>
    <w:rsid w:val="00C82978"/>
    <w:rsid w:val="00C82989"/>
    <w:rsid w:val="00CE6CF2"/>
    <w:rsid w:val="00CE7194"/>
    <w:rsid w:val="00CF63EA"/>
    <w:rsid w:val="00D016B7"/>
    <w:rsid w:val="00D3635E"/>
    <w:rsid w:val="00D408C6"/>
    <w:rsid w:val="00D415F2"/>
    <w:rsid w:val="00D50387"/>
    <w:rsid w:val="00D546EB"/>
    <w:rsid w:val="00D56970"/>
    <w:rsid w:val="00D64C61"/>
    <w:rsid w:val="00D738DF"/>
    <w:rsid w:val="00D74176"/>
    <w:rsid w:val="00D77924"/>
    <w:rsid w:val="00D82815"/>
    <w:rsid w:val="00D8426B"/>
    <w:rsid w:val="00D93D7A"/>
    <w:rsid w:val="00DC1155"/>
    <w:rsid w:val="00DE0E30"/>
    <w:rsid w:val="00DF7DE1"/>
    <w:rsid w:val="00E01684"/>
    <w:rsid w:val="00E30266"/>
    <w:rsid w:val="00E46E32"/>
    <w:rsid w:val="00E47619"/>
    <w:rsid w:val="00E713F8"/>
    <w:rsid w:val="00E7313C"/>
    <w:rsid w:val="00E84B44"/>
    <w:rsid w:val="00E8554B"/>
    <w:rsid w:val="00EA261D"/>
    <w:rsid w:val="00EB035D"/>
    <w:rsid w:val="00EB58CB"/>
    <w:rsid w:val="00EF27D2"/>
    <w:rsid w:val="00EF538D"/>
    <w:rsid w:val="00EF7984"/>
    <w:rsid w:val="00F0114B"/>
    <w:rsid w:val="00F05F8E"/>
    <w:rsid w:val="00F10EFE"/>
    <w:rsid w:val="00F128FE"/>
    <w:rsid w:val="00F30D5E"/>
    <w:rsid w:val="00F509B5"/>
    <w:rsid w:val="00F60007"/>
    <w:rsid w:val="00F659E7"/>
    <w:rsid w:val="00F73130"/>
    <w:rsid w:val="00F76180"/>
    <w:rsid w:val="00F770A0"/>
    <w:rsid w:val="00FB2596"/>
    <w:rsid w:val="00FD1555"/>
    <w:rsid w:val="00FD637E"/>
    <w:rsid w:val="00FE6D70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8</cp:revision>
  <dcterms:created xsi:type="dcterms:W3CDTF">2024-09-26T10:01:00Z</dcterms:created>
  <dcterms:modified xsi:type="dcterms:W3CDTF">2024-10-04T12:35:00Z</dcterms:modified>
</cp:coreProperties>
</file>